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1A0234" w:rsidP="009332EF">
            <w:pPr>
              <w:tabs>
                <w:tab w:val="left" w:pos="720"/>
              </w:tabs>
              <w:bidi/>
              <w:jc w:val="both"/>
              <w:rPr>
                <w:rFonts w:cs="Traditional Arabic"/>
                <w:sz w:val="20"/>
                <w:szCs w:val="30"/>
                <w:lang w:val="en-GB"/>
              </w:rPr>
            </w:pPr>
            <w:r>
              <w:rPr>
                <w:rFonts w:cs="Traditional Arabic" w:hint="cs"/>
                <w:sz w:val="20"/>
                <w:szCs w:val="30"/>
                <w:rtl/>
                <w:lang w:val="en-GB"/>
              </w:rPr>
              <w:t xml:space="preserve">مناقشة </w:t>
            </w:r>
            <w:r w:rsidR="00871516">
              <w:rPr>
                <w:rFonts w:cs="Traditional Arabic" w:hint="cs"/>
                <w:sz w:val="20"/>
                <w:szCs w:val="30"/>
                <w:rtl/>
                <w:lang w:val="en-GB"/>
              </w:rPr>
              <w:t xml:space="preserve">بشأن </w:t>
            </w:r>
            <w:r>
              <w:rPr>
                <w:rFonts w:cs="Traditional Arabic" w:hint="cs"/>
                <w:sz w:val="20"/>
                <w:szCs w:val="30"/>
                <w:rtl/>
                <w:lang w:val="en-GB"/>
              </w:rPr>
              <w:t>التصديق</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1A0234"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50 دقيقة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1A0234" w:rsidP="001A0234">
            <w:pPr>
              <w:bidi/>
              <w:jc w:val="both"/>
              <w:rPr>
                <w:rFonts w:cs="Traditional Arabic"/>
                <w:sz w:val="20"/>
                <w:szCs w:val="30"/>
                <w:lang w:val="en-GB" w:eastAsia="en-GB"/>
              </w:rPr>
            </w:pPr>
            <w:r>
              <w:rPr>
                <w:rFonts w:cs="Traditional Arabic" w:hint="cs"/>
                <w:sz w:val="20"/>
                <w:szCs w:val="30"/>
                <w:rtl/>
                <w:lang w:val="en-GB" w:eastAsia="en-GB"/>
              </w:rPr>
              <w:t>المكان الرئيسي وغرف فرعية لأربع مجموعات عمل</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A02AF2" w:rsidRDefault="001A0234" w:rsidP="00871516">
            <w:pPr>
              <w:bidi/>
              <w:jc w:val="both"/>
              <w:rPr>
                <w:rFonts w:cs="Traditional Arabic"/>
                <w:b/>
                <w:sz w:val="20"/>
                <w:szCs w:val="30"/>
                <w:lang w:val="en-GB"/>
              </w:rPr>
            </w:pPr>
            <w:r>
              <w:rPr>
                <w:rFonts w:cs="Traditional Arabic" w:hint="cs"/>
                <w:b/>
                <w:sz w:val="20"/>
                <w:szCs w:val="30"/>
                <w:rtl/>
                <w:lang w:val="en-GB"/>
              </w:rPr>
              <w:t xml:space="preserve">لوحات متتالية الصفحات </w:t>
            </w:r>
            <w:r w:rsidR="00871516">
              <w:rPr>
                <w:rFonts w:cs="Traditional Arabic" w:hint="cs"/>
                <w:b/>
                <w:sz w:val="20"/>
                <w:szCs w:val="30"/>
                <w:rtl/>
                <w:lang w:val="en-GB"/>
              </w:rPr>
              <w:t>وأقلام خطاطة (ماركر)</w:t>
            </w:r>
          </w:p>
          <w:p w:rsidR="00A932E5" w:rsidRPr="002B0B77" w:rsidRDefault="00A932E5" w:rsidP="009332EF">
            <w:pPr>
              <w:bidi/>
              <w:jc w:val="both"/>
              <w:rPr>
                <w:rFonts w:cs="Traditional Arabic"/>
                <w:b/>
                <w:sz w:val="20"/>
                <w:szCs w:val="30"/>
                <w:lang w:val="en-GB"/>
              </w:rPr>
            </w:pPr>
          </w:p>
        </w:tc>
      </w:tr>
    </w:tbl>
    <w:p w:rsidR="001A0234" w:rsidRDefault="001A0234" w:rsidP="009332EF">
      <w:pPr>
        <w:tabs>
          <w:tab w:val="left" w:pos="720"/>
        </w:tabs>
        <w:bidi/>
        <w:jc w:val="both"/>
        <w:rPr>
          <w:rFonts w:cs="Traditional Arabic"/>
          <w:b/>
          <w:bCs/>
          <w:color w:val="4F81BD"/>
          <w:sz w:val="20"/>
          <w:szCs w:val="30"/>
          <w:u w:val="single"/>
          <w:rtl/>
          <w:lang w:val="en-GB"/>
        </w:rPr>
      </w:pPr>
    </w:p>
    <w:p w:rsidR="00A932E5" w:rsidRPr="008F3664" w:rsidRDefault="00A932E5" w:rsidP="001A0234">
      <w:pPr>
        <w:tabs>
          <w:tab w:val="left" w:pos="720"/>
        </w:tabs>
        <w:bidi/>
        <w:jc w:val="both"/>
        <w:rPr>
          <w:rFonts w:cs="Traditional Arabic"/>
          <w:color w:val="4F81BD"/>
          <w:sz w:val="20"/>
          <w:szCs w:val="30"/>
          <w:u w:val="single"/>
          <w:lang w:val="en-GB"/>
        </w:rPr>
      </w:pPr>
      <w:r>
        <w:rPr>
          <w:rFonts w:cs="Traditional Arabic"/>
          <w:b/>
          <w:bCs/>
          <w:color w:val="4F81BD"/>
          <w:sz w:val="20"/>
          <w:szCs w:val="30"/>
          <w:u w:val="single"/>
          <w:rtl/>
          <w:lang w:val="en-GB"/>
        </w:rPr>
        <w:t>هدف النشاط</w:t>
      </w:r>
    </w:p>
    <w:p w:rsidR="00A932E5" w:rsidRPr="008F3664" w:rsidRDefault="00A932E5" w:rsidP="009332EF">
      <w:pPr>
        <w:tabs>
          <w:tab w:val="left" w:pos="720"/>
        </w:tabs>
        <w:bidi/>
        <w:jc w:val="both"/>
        <w:rPr>
          <w:rFonts w:cs="Traditional Arabic"/>
          <w:sz w:val="20"/>
          <w:szCs w:val="30"/>
          <w:lang w:val="en-GB"/>
        </w:rPr>
      </w:pPr>
    </w:p>
    <w:p w:rsidR="001A0234" w:rsidRDefault="001A0234" w:rsidP="00871516">
      <w:pPr>
        <w:tabs>
          <w:tab w:val="left" w:pos="720"/>
        </w:tabs>
        <w:bidi/>
        <w:jc w:val="both"/>
        <w:rPr>
          <w:rFonts w:cs="Traditional Arabic"/>
          <w:sz w:val="20"/>
          <w:szCs w:val="30"/>
          <w:rtl/>
          <w:lang w:val="en-GB"/>
        </w:rPr>
      </w:pPr>
      <w:r>
        <w:rPr>
          <w:rFonts w:cs="Traditional Arabic" w:hint="cs"/>
          <w:sz w:val="20"/>
          <w:szCs w:val="30"/>
          <w:rtl/>
          <w:lang w:val="en-GB"/>
        </w:rPr>
        <w:t xml:space="preserve">هدف النشاط الجماعي هو بناء المعارف وفهم </w:t>
      </w:r>
      <w:r w:rsidR="00871516">
        <w:rPr>
          <w:rFonts w:cs="Traditional Arabic" w:hint="cs"/>
          <w:sz w:val="20"/>
          <w:szCs w:val="30"/>
          <w:rtl/>
          <w:lang w:val="en-GB"/>
        </w:rPr>
        <w:t xml:space="preserve">اختلاف </w:t>
      </w:r>
      <w:r>
        <w:rPr>
          <w:rFonts w:cs="Traditional Arabic" w:hint="cs"/>
          <w:sz w:val="20"/>
          <w:szCs w:val="30"/>
          <w:rtl/>
          <w:lang w:val="en-GB"/>
        </w:rPr>
        <w:t xml:space="preserve">المنظور </w:t>
      </w:r>
      <w:r w:rsidR="00871516">
        <w:rPr>
          <w:rFonts w:cs="Traditional Arabic" w:hint="cs"/>
          <w:sz w:val="20"/>
          <w:szCs w:val="30"/>
          <w:rtl/>
          <w:lang w:val="en-GB"/>
        </w:rPr>
        <w:t xml:space="preserve">فيما يتصل </w:t>
      </w:r>
      <w:r>
        <w:rPr>
          <w:rFonts w:cs="Traditional Arabic" w:hint="cs"/>
          <w:sz w:val="20"/>
          <w:szCs w:val="30"/>
          <w:rtl/>
          <w:lang w:val="en-GB"/>
        </w:rPr>
        <w:t>بعملية التصديق على اتفاقية الأشخاص ذوي الإعاقة.</w:t>
      </w:r>
    </w:p>
    <w:p w:rsidR="001A0234" w:rsidRDefault="001A0234" w:rsidP="001A0234">
      <w:pPr>
        <w:tabs>
          <w:tab w:val="left" w:pos="720"/>
        </w:tabs>
        <w:bidi/>
        <w:jc w:val="both"/>
        <w:rPr>
          <w:rFonts w:cs="Traditional Arabic"/>
          <w:sz w:val="20"/>
          <w:szCs w:val="30"/>
          <w:rtl/>
          <w:lang w:val="en-GB"/>
        </w:rPr>
      </w:pPr>
    </w:p>
    <w:p w:rsidR="00A932E5" w:rsidRDefault="001A0234" w:rsidP="00871516">
      <w:pPr>
        <w:tabs>
          <w:tab w:val="left" w:pos="720"/>
        </w:tabs>
        <w:bidi/>
        <w:jc w:val="both"/>
        <w:rPr>
          <w:rFonts w:cs="Traditional Arabic"/>
          <w:sz w:val="20"/>
          <w:szCs w:val="30"/>
          <w:rtl/>
          <w:lang w:val="en-GB"/>
        </w:rPr>
      </w:pPr>
      <w:r>
        <w:rPr>
          <w:rFonts w:cs="Traditional Arabic" w:hint="cs"/>
          <w:sz w:val="20"/>
          <w:szCs w:val="30"/>
          <w:rtl/>
          <w:lang w:val="en-GB"/>
        </w:rPr>
        <w:t xml:space="preserve">وفي حين أن كثيراً من البلدان قد صدَّقت على الاتفاقية </w:t>
      </w:r>
      <w:r w:rsidR="002B0B77">
        <w:rPr>
          <w:rFonts w:cs="Traditional Arabic" w:hint="cs"/>
          <w:sz w:val="20"/>
          <w:szCs w:val="30"/>
          <w:rtl/>
          <w:lang w:val="en-GB"/>
        </w:rPr>
        <w:t xml:space="preserve"> </w:t>
      </w:r>
      <w:r>
        <w:rPr>
          <w:rFonts w:cs="Traditional Arabic" w:hint="cs"/>
          <w:sz w:val="20"/>
          <w:szCs w:val="30"/>
          <w:rtl/>
          <w:lang w:val="en-GB"/>
        </w:rPr>
        <w:t xml:space="preserve">وأن نصف هذه البلدان تقريباً قد صدَّق أيضاً على بروتوكولها الاختياري فلا تزال هناك مناقشة جارية بشأن الغرض من التصديق وأثره. </w:t>
      </w:r>
      <w:r w:rsidR="00871516">
        <w:rPr>
          <w:rFonts w:cs="Traditional Arabic" w:hint="cs"/>
          <w:sz w:val="20"/>
          <w:szCs w:val="30"/>
          <w:rtl/>
          <w:lang w:val="en-GB"/>
        </w:rPr>
        <w:t xml:space="preserve">إذ </w:t>
      </w:r>
      <w:r>
        <w:rPr>
          <w:rFonts w:cs="Traditional Arabic" w:hint="cs"/>
          <w:sz w:val="20"/>
          <w:szCs w:val="30"/>
          <w:rtl/>
          <w:lang w:val="en-GB"/>
        </w:rPr>
        <w:t xml:space="preserve">يشجِّع البعض على </w:t>
      </w:r>
      <w:r w:rsidR="00871516">
        <w:rPr>
          <w:rFonts w:cs="Traditional Arabic" w:hint="cs"/>
          <w:sz w:val="20"/>
          <w:szCs w:val="30"/>
          <w:rtl/>
          <w:lang w:val="en-GB"/>
        </w:rPr>
        <w:t xml:space="preserve">سرعة </w:t>
      </w:r>
      <w:r>
        <w:rPr>
          <w:rFonts w:cs="Traditional Arabic" w:hint="cs"/>
          <w:sz w:val="20"/>
          <w:szCs w:val="30"/>
          <w:rtl/>
          <w:lang w:val="en-GB"/>
        </w:rPr>
        <w:t xml:space="preserve">التصديق من أجل تشجيع الدول على ترتيب الأمور في داخلها. ويشير آخرون بأن التصديق ينبغي أن ينتظر حتى يتم الإصلاح القانوني اللازم وتستطيع الدول أن تركز على إعداد تقريرها الأوَّلي إلى لجنة حقوق الأشخاص ذوي الإعاقة. وبعض أصحاب المصلحة الآخرين لا يهتم كثيراً بمسألة </w:t>
      </w:r>
      <w:r>
        <w:rPr>
          <w:rFonts w:cs="Traditional Arabic" w:hint="cs"/>
          <w:i/>
          <w:iCs/>
          <w:sz w:val="20"/>
          <w:szCs w:val="30"/>
          <w:rtl/>
          <w:lang w:val="en-GB"/>
        </w:rPr>
        <w:t>متى</w:t>
      </w:r>
      <w:r>
        <w:rPr>
          <w:rFonts w:cs="Traditional Arabic" w:hint="cs"/>
          <w:sz w:val="20"/>
          <w:szCs w:val="30"/>
          <w:rtl/>
          <w:lang w:val="en-GB"/>
        </w:rPr>
        <w:t xml:space="preserve"> يتم التصديق بقدر اهتمامه بمسألة </w:t>
      </w:r>
      <w:r>
        <w:rPr>
          <w:rFonts w:cs="Traditional Arabic" w:hint="cs"/>
          <w:i/>
          <w:iCs/>
          <w:sz w:val="20"/>
          <w:szCs w:val="30"/>
          <w:rtl/>
          <w:lang w:val="en-GB"/>
        </w:rPr>
        <w:t>ما إن كان</w:t>
      </w:r>
      <w:r>
        <w:rPr>
          <w:rFonts w:cs="Traditional Arabic" w:hint="cs"/>
          <w:sz w:val="20"/>
          <w:szCs w:val="30"/>
          <w:rtl/>
          <w:lang w:val="en-GB"/>
        </w:rPr>
        <w:t xml:space="preserve"> يتعيَّن التصديق، نظراً للتكاليف المتصوَّرة نتيجة تنفيذ الاتفاقية.</w:t>
      </w:r>
    </w:p>
    <w:p w:rsidR="001A0234" w:rsidRDefault="001A0234" w:rsidP="001A0234">
      <w:pPr>
        <w:tabs>
          <w:tab w:val="left" w:pos="720"/>
        </w:tabs>
        <w:bidi/>
        <w:jc w:val="both"/>
        <w:rPr>
          <w:rFonts w:cs="Traditional Arabic"/>
          <w:sz w:val="20"/>
          <w:szCs w:val="30"/>
          <w:rtl/>
          <w:lang w:val="en-GB"/>
        </w:rPr>
      </w:pPr>
    </w:p>
    <w:p w:rsidR="001A0234" w:rsidRDefault="001A0234" w:rsidP="001A0234">
      <w:pPr>
        <w:tabs>
          <w:tab w:val="left" w:pos="720"/>
        </w:tabs>
        <w:bidi/>
        <w:jc w:val="both"/>
        <w:rPr>
          <w:rFonts w:cs="Traditional Arabic"/>
          <w:sz w:val="20"/>
          <w:szCs w:val="30"/>
          <w:rtl/>
          <w:lang w:val="en-GB"/>
        </w:rPr>
      </w:pPr>
      <w:r>
        <w:rPr>
          <w:rFonts w:cs="Traditional Arabic" w:hint="cs"/>
          <w:sz w:val="20"/>
          <w:szCs w:val="30"/>
          <w:rtl/>
          <w:lang w:val="en-GB"/>
        </w:rPr>
        <w:t xml:space="preserve">ولذلك فإن هذا التمرين يأخذ شكل مناقشة بشأن التصديق حيث يجادل مختلف أصحاب المصلحة لصالح التصديق أو ضده </w:t>
      </w:r>
      <w:r>
        <w:rPr>
          <w:rFonts w:cs="Traditional Arabic"/>
          <w:sz w:val="20"/>
          <w:szCs w:val="30"/>
          <w:rtl/>
          <w:lang w:val="en-GB"/>
        </w:rPr>
        <w:t>–</w:t>
      </w:r>
      <w:r>
        <w:rPr>
          <w:rFonts w:cs="Traditional Arabic" w:hint="cs"/>
          <w:sz w:val="20"/>
          <w:szCs w:val="30"/>
          <w:rtl/>
          <w:lang w:val="en-GB"/>
        </w:rPr>
        <w:t xml:space="preserve"> والأفضل أن يكون ذلك من منظور يختلف عن منظور صاحب المصلحة. </w:t>
      </w:r>
    </w:p>
    <w:p w:rsidR="001A0234" w:rsidRPr="001A0234" w:rsidRDefault="001A0234" w:rsidP="001A0234">
      <w:pPr>
        <w:tabs>
          <w:tab w:val="left" w:pos="720"/>
        </w:tabs>
        <w:bidi/>
        <w:jc w:val="both"/>
        <w:rPr>
          <w:rFonts w:cs="Traditional Arabic"/>
          <w:sz w:val="20"/>
          <w:szCs w:val="30"/>
          <w:rtl/>
          <w:lang w:val="en-GB"/>
        </w:rPr>
      </w:pPr>
    </w:p>
    <w:p w:rsidR="00A932E5" w:rsidRPr="008F3664" w:rsidRDefault="001A0234" w:rsidP="009332EF">
      <w:pPr>
        <w:tabs>
          <w:tab w:val="left" w:pos="720"/>
        </w:tabs>
        <w:bidi/>
        <w:jc w:val="both"/>
        <w:rPr>
          <w:rFonts w:cs="Traditional Arabic"/>
          <w:b/>
          <w:color w:val="4F81BD"/>
          <w:sz w:val="20"/>
          <w:szCs w:val="30"/>
          <w:u w:val="single"/>
          <w:lang w:val="en-GB"/>
        </w:rPr>
      </w:pPr>
      <w:r>
        <w:rPr>
          <w:rFonts w:cs="Traditional Arabic" w:hint="cs"/>
          <w:b/>
          <w:bCs/>
          <w:color w:val="4F81BD"/>
          <w:sz w:val="20"/>
          <w:szCs w:val="30"/>
          <w:u w:val="single"/>
          <w:rtl/>
          <w:lang w:val="en-GB"/>
        </w:rPr>
        <w:t>الأدوار</w:t>
      </w:r>
    </w:p>
    <w:p w:rsidR="001A0234" w:rsidRDefault="001A0234" w:rsidP="009332EF">
      <w:pPr>
        <w:tabs>
          <w:tab w:val="left" w:pos="720"/>
        </w:tabs>
        <w:bidi/>
        <w:ind w:left="540"/>
        <w:jc w:val="both"/>
        <w:rPr>
          <w:rFonts w:cs="Traditional Arabic"/>
          <w:b/>
          <w:bCs/>
          <w:sz w:val="20"/>
          <w:szCs w:val="30"/>
          <w:rtl/>
        </w:rPr>
      </w:pPr>
    </w:p>
    <w:p w:rsidR="00A932E5" w:rsidRDefault="001A0234" w:rsidP="007F49B4">
      <w:pPr>
        <w:tabs>
          <w:tab w:val="left" w:pos="720"/>
        </w:tabs>
        <w:bidi/>
        <w:jc w:val="both"/>
        <w:rPr>
          <w:rFonts w:cs="Traditional Arabic"/>
          <w:sz w:val="20"/>
          <w:szCs w:val="30"/>
          <w:rtl/>
          <w:lang w:val="en-GB"/>
        </w:rPr>
      </w:pPr>
      <w:r>
        <w:rPr>
          <w:rFonts w:cs="Traditional Arabic" w:hint="cs"/>
          <w:sz w:val="20"/>
          <w:szCs w:val="30"/>
          <w:rtl/>
          <w:lang w:val="en-GB"/>
        </w:rPr>
        <w:t>يدخل المشاركون في مناقشة تضم ثلاثة أطراف ومحكِّم واحد. ويكون المحكِّم ممثل برلمان. والأطراف الث</w:t>
      </w:r>
      <w:r w:rsidR="007F49B4">
        <w:rPr>
          <w:rFonts w:cs="Traditional Arabic" w:hint="cs"/>
          <w:sz w:val="20"/>
          <w:szCs w:val="30"/>
          <w:rtl/>
          <w:lang w:val="en-GB"/>
        </w:rPr>
        <w:t>لا</w:t>
      </w:r>
      <w:r>
        <w:rPr>
          <w:rFonts w:cs="Traditional Arabic" w:hint="cs"/>
          <w:sz w:val="20"/>
          <w:szCs w:val="30"/>
          <w:rtl/>
          <w:lang w:val="en-GB"/>
        </w:rPr>
        <w:t>ثة هم:</w:t>
      </w:r>
    </w:p>
    <w:p w:rsidR="001A0234" w:rsidRDefault="001A0234" w:rsidP="001A02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عن وزارة المالية</w:t>
      </w:r>
    </w:p>
    <w:p w:rsidR="001A0234" w:rsidRDefault="001A0234" w:rsidP="001A02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عن وزارة الشؤون الاجتماعية</w:t>
      </w:r>
    </w:p>
    <w:p w:rsidR="001A0234" w:rsidRDefault="001A0234" w:rsidP="001A02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عن إحدى منظمات الأشخاص ذوي الإعاقة</w:t>
      </w:r>
    </w:p>
    <w:p w:rsidR="005E6534" w:rsidRDefault="005E6534" w:rsidP="005E6534">
      <w:pPr>
        <w:tabs>
          <w:tab w:val="left" w:pos="720"/>
        </w:tabs>
        <w:bidi/>
        <w:jc w:val="both"/>
        <w:rPr>
          <w:rFonts w:cs="Traditional Arabic"/>
          <w:sz w:val="20"/>
          <w:szCs w:val="30"/>
          <w:rtl/>
          <w:lang w:val="en-GB"/>
        </w:rPr>
      </w:pPr>
    </w:p>
    <w:p w:rsidR="005E6534" w:rsidRPr="001A0234" w:rsidRDefault="005E6534" w:rsidP="005E6534">
      <w:pPr>
        <w:tabs>
          <w:tab w:val="left" w:pos="720"/>
        </w:tabs>
        <w:bidi/>
        <w:jc w:val="both"/>
        <w:rPr>
          <w:rFonts w:cs="Traditional Arabic"/>
          <w:sz w:val="20"/>
          <w:szCs w:val="30"/>
          <w:lang w:val="en-GB"/>
        </w:rPr>
      </w:pPr>
      <w:r>
        <w:rPr>
          <w:rFonts w:cs="Traditional Arabic" w:hint="cs"/>
          <w:sz w:val="20"/>
          <w:szCs w:val="30"/>
          <w:rtl/>
          <w:lang w:val="en-GB"/>
        </w:rPr>
        <w:lastRenderedPageBreak/>
        <w:t>ويكون لكل هؤلاء منظور</w:t>
      </w:r>
      <w:r w:rsidR="00871516">
        <w:rPr>
          <w:rFonts w:cs="Traditional Arabic" w:hint="cs"/>
          <w:sz w:val="20"/>
          <w:szCs w:val="30"/>
          <w:rtl/>
          <w:lang w:val="en-GB"/>
        </w:rPr>
        <w:t xml:space="preserve"> مختلف</w:t>
      </w:r>
      <w:r>
        <w:rPr>
          <w:rFonts w:cs="Traditional Arabic" w:hint="cs"/>
          <w:sz w:val="20"/>
          <w:szCs w:val="30"/>
          <w:rtl/>
          <w:lang w:val="en-GB"/>
        </w:rPr>
        <w:t>:</w:t>
      </w:r>
    </w:p>
    <w:p w:rsidR="005E6534" w:rsidRDefault="005E6534" w:rsidP="00871516">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البرلمان محايد في موضوع التصديق وينتظر أن يقنعه أصحاب المصلحة في الحكومة والمجتمع المدني. وعلى أساس المناقشة سوف يعود البرلماني إلى اللجنة البرلمانية المعنية بحقوق الإنسان ليبلغها ما إن كان ينبغي للبرلمان دعم التصديق، وفي هذه الحالة متى يكون التصديق.</w:t>
      </w:r>
    </w:p>
    <w:p w:rsidR="005E6534" w:rsidRDefault="005E6534" w:rsidP="005E65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وزارة المالية مقتنع بأن تنفيذ الاتفاقية سيكون مكلفاً إلى أبعد حد.</w:t>
      </w:r>
    </w:p>
    <w:p w:rsidR="005E6534" w:rsidRDefault="005E6534" w:rsidP="005E65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وزارة الشؤون الاجتماعية يؤيد التصديق نظراً للالتزامات الأخيرة بالتصديق على الاتفاقية التي تم الإعراب عنها في عملية الاستعراض الدوري الشامل في مجلس حقوق الإنسان، ولكنه يشعر بالقلق في الوقت نفسه من أثر التنفيذ على القدرات المحدودة لوزارته.</w:t>
      </w:r>
    </w:p>
    <w:p w:rsidR="005E6534" w:rsidRPr="005E6534" w:rsidRDefault="005E6534" w:rsidP="005E6534">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ممثل المجتمع المدني يؤيد التصديق بشدة ويعتبر الاتفاقية هي الوسيلة الرئيسية لتحقيق تغيير مستدام لصالح الأشخاص ذوي الإعاقة في بلده.</w:t>
      </w:r>
    </w:p>
    <w:p w:rsidR="005E6534" w:rsidRDefault="005E6534" w:rsidP="005E6534">
      <w:pPr>
        <w:tabs>
          <w:tab w:val="left" w:pos="720"/>
        </w:tabs>
        <w:bidi/>
        <w:jc w:val="both"/>
        <w:rPr>
          <w:rFonts w:cs="Traditional Arabic"/>
          <w:sz w:val="20"/>
          <w:szCs w:val="30"/>
          <w:rtl/>
          <w:lang w:val="en-GB"/>
        </w:rPr>
      </w:pPr>
      <w:r>
        <w:rPr>
          <w:rFonts w:cs="Traditional Arabic" w:hint="cs"/>
          <w:sz w:val="20"/>
          <w:szCs w:val="30"/>
          <w:rtl/>
          <w:lang w:val="en-GB"/>
        </w:rPr>
        <w:t>وستكون الأدوار في مجموعات العمل على النحو التالي:</w:t>
      </w:r>
    </w:p>
    <w:p w:rsidR="005E6534" w:rsidRDefault="005E6534" w:rsidP="00871516">
      <w:pPr>
        <w:pStyle w:val="ListParagraph"/>
        <w:numPr>
          <w:ilvl w:val="0"/>
          <w:numId w:val="11"/>
        </w:numPr>
        <w:tabs>
          <w:tab w:val="left" w:pos="720"/>
        </w:tabs>
        <w:bidi/>
        <w:jc w:val="both"/>
        <w:rPr>
          <w:rFonts w:cs="Traditional Arabic"/>
          <w:sz w:val="20"/>
          <w:szCs w:val="30"/>
          <w:lang w:val="en-GB"/>
        </w:rPr>
      </w:pPr>
      <w:r>
        <w:rPr>
          <w:rFonts w:cs="Traditional Arabic" w:hint="cs"/>
          <w:sz w:val="20"/>
          <w:szCs w:val="30"/>
          <w:rtl/>
          <w:lang w:val="en-GB"/>
        </w:rPr>
        <w:t xml:space="preserve">سيكون على المجموعة البرلمانية أن تعد قائمة بالأسئلة لكل </w:t>
      </w:r>
      <w:r w:rsidR="00871516">
        <w:rPr>
          <w:rFonts w:cs="Traditional Arabic" w:hint="cs"/>
          <w:sz w:val="20"/>
          <w:szCs w:val="30"/>
          <w:rtl/>
          <w:lang w:val="en-GB"/>
        </w:rPr>
        <w:t>واحد</w:t>
      </w:r>
      <w:r w:rsidR="0099525E">
        <w:rPr>
          <w:rFonts w:cs="Traditional Arabic" w:hint="cs"/>
          <w:sz w:val="20"/>
          <w:szCs w:val="30"/>
          <w:rtl/>
          <w:lang w:val="en-GB"/>
        </w:rPr>
        <w:t xml:space="preserve"> من الممثلين من أجل </w:t>
      </w:r>
      <w:r w:rsidR="0099525E" w:rsidRPr="0099525E">
        <w:rPr>
          <w:rFonts w:cs="Traditional Arabic" w:hint="cs"/>
          <w:color w:val="FF0000"/>
          <w:sz w:val="20"/>
          <w:szCs w:val="30"/>
          <w:rtl/>
          <w:lang w:val="en-GB"/>
        </w:rPr>
        <w:t>تحديد</w:t>
      </w:r>
      <w:r>
        <w:rPr>
          <w:rFonts w:cs="Traditional Arabic" w:hint="cs"/>
          <w:sz w:val="20"/>
          <w:szCs w:val="30"/>
          <w:rtl/>
          <w:lang w:val="en-GB"/>
        </w:rPr>
        <w:t xml:space="preserve"> القضايا الرئيسية المتصلة بالبرلمان وتقرير ما إن كان ينبغي </w:t>
      </w:r>
      <w:r w:rsidR="00871516">
        <w:rPr>
          <w:rFonts w:cs="Traditional Arabic" w:hint="cs"/>
          <w:sz w:val="20"/>
          <w:szCs w:val="30"/>
          <w:rtl/>
          <w:lang w:val="en-GB"/>
        </w:rPr>
        <w:t xml:space="preserve">التصديق </w:t>
      </w:r>
      <w:r>
        <w:rPr>
          <w:rFonts w:cs="Traditional Arabic" w:hint="cs"/>
          <w:sz w:val="20"/>
          <w:szCs w:val="30"/>
          <w:rtl/>
          <w:lang w:val="en-GB"/>
        </w:rPr>
        <w:t xml:space="preserve">الآن أو فيما بعد أو </w:t>
      </w:r>
      <w:r w:rsidR="00871516">
        <w:rPr>
          <w:rFonts w:cs="Traditional Arabic" w:hint="cs"/>
          <w:sz w:val="20"/>
          <w:szCs w:val="30"/>
          <w:rtl/>
          <w:lang w:val="en-GB"/>
        </w:rPr>
        <w:t>عدم التصديق</w:t>
      </w:r>
      <w:r>
        <w:rPr>
          <w:rFonts w:cs="Traditional Arabic" w:hint="cs"/>
          <w:sz w:val="20"/>
          <w:szCs w:val="30"/>
          <w:rtl/>
          <w:lang w:val="en-GB"/>
        </w:rPr>
        <w:t xml:space="preserve"> على الإطلاق.</w:t>
      </w:r>
    </w:p>
    <w:p w:rsidR="005E6534" w:rsidRPr="005E6534" w:rsidRDefault="005E6534" w:rsidP="00871516">
      <w:pPr>
        <w:pStyle w:val="ListParagraph"/>
        <w:numPr>
          <w:ilvl w:val="0"/>
          <w:numId w:val="11"/>
        </w:numPr>
        <w:tabs>
          <w:tab w:val="left" w:pos="720"/>
        </w:tabs>
        <w:bidi/>
        <w:jc w:val="both"/>
        <w:rPr>
          <w:rFonts w:cs="Traditional Arabic"/>
          <w:sz w:val="20"/>
          <w:szCs w:val="30"/>
          <w:rtl/>
          <w:lang w:val="en-GB"/>
        </w:rPr>
      </w:pPr>
      <w:r>
        <w:rPr>
          <w:rFonts w:cs="Traditional Arabic" w:hint="cs"/>
          <w:sz w:val="20"/>
          <w:szCs w:val="30"/>
          <w:rtl/>
          <w:lang w:val="en-GB"/>
        </w:rPr>
        <w:t>سيكون على ممثلي الوزارات والمجتمع المدني إعداد الحجج التي تؤيد موقف</w:t>
      </w:r>
      <w:r w:rsidR="00871516">
        <w:rPr>
          <w:rFonts w:cs="Traditional Arabic" w:hint="cs"/>
          <w:sz w:val="20"/>
          <w:szCs w:val="30"/>
          <w:rtl/>
          <w:lang w:val="en-GB"/>
        </w:rPr>
        <w:t xml:space="preserve"> كل منهم</w:t>
      </w:r>
      <w:r>
        <w:rPr>
          <w:rFonts w:cs="Traditional Arabic" w:hint="cs"/>
          <w:sz w:val="20"/>
          <w:szCs w:val="30"/>
          <w:rtl/>
          <w:lang w:val="en-GB"/>
        </w:rPr>
        <w:t>. وعند القيام بذلك، سيتعيَّن على كل مجموعة عمل أن تستبق الأسئلة التي سيطرحها البرلماني</w:t>
      </w:r>
      <w:r w:rsidR="007F49B4">
        <w:rPr>
          <w:rFonts w:cs="Traditional Arabic" w:hint="cs"/>
          <w:sz w:val="20"/>
          <w:szCs w:val="30"/>
          <w:rtl/>
          <w:lang w:val="en-GB"/>
        </w:rPr>
        <w:t>و</w:t>
      </w:r>
      <w:r>
        <w:rPr>
          <w:rFonts w:cs="Traditional Arabic" w:hint="cs"/>
          <w:sz w:val="20"/>
          <w:szCs w:val="30"/>
          <w:rtl/>
          <w:lang w:val="en-GB"/>
        </w:rPr>
        <w:t xml:space="preserve">ن عليهم. </w:t>
      </w:r>
    </w:p>
    <w:p w:rsidR="005E6534" w:rsidRDefault="005E6534" w:rsidP="009332EF">
      <w:pPr>
        <w:pStyle w:val="ListParagraph"/>
        <w:tabs>
          <w:tab w:val="left" w:pos="720"/>
        </w:tabs>
        <w:bidi/>
        <w:ind w:left="0"/>
        <w:jc w:val="both"/>
        <w:rPr>
          <w:rFonts w:cs="Traditional Arabic"/>
          <w:b/>
          <w:bCs/>
          <w:color w:val="4F81BD"/>
          <w:sz w:val="20"/>
          <w:szCs w:val="30"/>
          <w:u w:val="single"/>
          <w:rtl/>
          <w:lang w:val="en-GB"/>
        </w:rPr>
      </w:pPr>
    </w:p>
    <w:p w:rsidR="00A932E5" w:rsidRPr="008F3664" w:rsidRDefault="00F231E8" w:rsidP="005E6534">
      <w:pPr>
        <w:pStyle w:val="ListParagraph"/>
        <w:tabs>
          <w:tab w:val="left" w:pos="720"/>
        </w:tabs>
        <w:bidi/>
        <w:ind w:left="0"/>
        <w:jc w:val="both"/>
        <w:rPr>
          <w:rFonts w:cs="Traditional Arabic"/>
          <w:b/>
          <w:bCs/>
          <w:color w:val="4F81BD"/>
          <w:sz w:val="20"/>
          <w:szCs w:val="30"/>
          <w:u w:val="single"/>
          <w:rtl/>
          <w:lang w:val="en-GB"/>
        </w:rPr>
      </w:pPr>
      <w:r>
        <w:rPr>
          <w:rFonts w:cs="Traditional Arabic" w:hint="cs"/>
          <w:b/>
          <w:bCs/>
          <w:color w:val="4F81BD"/>
          <w:sz w:val="20"/>
          <w:szCs w:val="30"/>
          <w:u w:val="single"/>
          <w:rtl/>
          <w:lang w:val="en-GB"/>
        </w:rPr>
        <w:t>معلومات مفيدة للميسِّر</w:t>
      </w:r>
    </w:p>
    <w:p w:rsidR="00A932E5" w:rsidRPr="00ED4F1C" w:rsidRDefault="00A932E5" w:rsidP="009332EF">
      <w:pPr>
        <w:tabs>
          <w:tab w:val="left" w:pos="720"/>
        </w:tabs>
        <w:bidi/>
        <w:jc w:val="both"/>
        <w:rPr>
          <w:rFonts w:cs="Traditional Arabic"/>
          <w:b/>
          <w:sz w:val="20"/>
          <w:szCs w:val="30"/>
          <w:lang w:val="en-GB"/>
        </w:rPr>
      </w:pPr>
    </w:p>
    <w:p w:rsidR="00A932E5" w:rsidRDefault="005E6534" w:rsidP="007004D9">
      <w:pPr>
        <w:tabs>
          <w:tab w:val="left" w:pos="720"/>
        </w:tabs>
        <w:bidi/>
        <w:jc w:val="both"/>
        <w:rPr>
          <w:rFonts w:cs="Traditional Arabic"/>
          <w:b/>
          <w:sz w:val="20"/>
          <w:szCs w:val="30"/>
          <w:rtl/>
          <w:lang w:val="en-GB"/>
        </w:rPr>
      </w:pPr>
      <w:r>
        <w:rPr>
          <w:rFonts w:cs="Traditional Arabic" w:hint="cs"/>
          <w:b/>
          <w:sz w:val="20"/>
          <w:szCs w:val="30"/>
          <w:rtl/>
          <w:lang w:val="en-GB"/>
        </w:rPr>
        <w:t>سيتعيَّن على الميسِّر أن يضع سيناريو ق</w:t>
      </w:r>
      <w:r w:rsidR="00BA6572">
        <w:rPr>
          <w:rFonts w:cs="Traditional Arabic" w:hint="cs"/>
          <w:b/>
          <w:sz w:val="20"/>
          <w:szCs w:val="30"/>
          <w:rtl/>
          <w:lang w:val="en-GB"/>
        </w:rPr>
        <w:t>ُ</w:t>
      </w:r>
      <w:r>
        <w:rPr>
          <w:rFonts w:cs="Traditional Arabic" w:hint="cs"/>
          <w:b/>
          <w:sz w:val="20"/>
          <w:szCs w:val="30"/>
          <w:rtl/>
          <w:lang w:val="en-GB"/>
        </w:rPr>
        <w:t>ط</w:t>
      </w:r>
      <w:r w:rsidR="00BA6572">
        <w:rPr>
          <w:rFonts w:cs="Traditional Arabic" w:hint="cs"/>
          <w:b/>
          <w:sz w:val="20"/>
          <w:szCs w:val="30"/>
          <w:rtl/>
          <w:lang w:val="en-GB"/>
        </w:rPr>
        <w:t>ْ</w:t>
      </w:r>
      <w:r>
        <w:rPr>
          <w:rFonts w:cs="Traditional Arabic" w:hint="cs"/>
          <w:b/>
          <w:sz w:val="20"/>
          <w:szCs w:val="30"/>
          <w:rtl/>
          <w:lang w:val="en-GB"/>
        </w:rPr>
        <w:t xml:space="preserve">ري بحيث يكون النشاط أكثر أهمية للمشاركين. ويشار بأن يعيِّن الميسِّر بلداً من وحي الخيال يواجه تحديات مماثلة على صعيد التنمية (المديونية وأثر الأزمة المالية العالمية ومستوى الدخل، إلخ) </w:t>
      </w:r>
      <w:r w:rsidR="002E13AD">
        <w:rPr>
          <w:rFonts w:cs="Traditional Arabic" w:hint="cs"/>
          <w:b/>
          <w:sz w:val="20"/>
          <w:szCs w:val="30"/>
          <w:rtl/>
          <w:lang w:val="en-GB"/>
        </w:rPr>
        <w:t>والأمن (النزاع وما بعد النزاع، إلخ)، والمستوى العام لاحترام حقوق الإعاقة، وأي قيم ذات صلة تؤثر على الاحترام</w:t>
      </w:r>
      <w:bookmarkStart w:id="0" w:name="_GoBack"/>
      <w:bookmarkEnd w:id="0"/>
      <w:r w:rsidR="002E13AD">
        <w:rPr>
          <w:rFonts w:cs="Traditional Arabic" w:hint="cs"/>
          <w:b/>
          <w:sz w:val="20"/>
          <w:szCs w:val="30"/>
          <w:rtl/>
          <w:lang w:val="en-GB"/>
        </w:rPr>
        <w:t xml:space="preserve"> الأشخاص ذوي الإعاقة وما إلى ذلك.</w:t>
      </w:r>
    </w:p>
    <w:p w:rsidR="002E13AD" w:rsidRDefault="002E13AD" w:rsidP="002E13AD">
      <w:pPr>
        <w:tabs>
          <w:tab w:val="left" w:pos="720"/>
        </w:tabs>
        <w:bidi/>
        <w:jc w:val="both"/>
        <w:rPr>
          <w:rFonts w:cs="Traditional Arabic"/>
          <w:b/>
          <w:sz w:val="20"/>
          <w:szCs w:val="30"/>
          <w:rtl/>
          <w:lang w:val="en-GB"/>
        </w:rPr>
      </w:pPr>
    </w:p>
    <w:p w:rsidR="002E13AD" w:rsidRDefault="002E13AD" w:rsidP="00871516">
      <w:pPr>
        <w:tabs>
          <w:tab w:val="left" w:pos="720"/>
        </w:tabs>
        <w:bidi/>
        <w:jc w:val="both"/>
        <w:rPr>
          <w:rFonts w:cs="Traditional Arabic"/>
          <w:b/>
          <w:sz w:val="20"/>
          <w:szCs w:val="30"/>
          <w:rtl/>
          <w:lang w:val="en-GB"/>
        </w:rPr>
      </w:pPr>
      <w:r>
        <w:rPr>
          <w:rFonts w:cs="Traditional Arabic" w:hint="cs"/>
          <w:b/>
          <w:sz w:val="20"/>
          <w:szCs w:val="30"/>
          <w:rtl/>
          <w:lang w:val="en-GB"/>
        </w:rPr>
        <w:t xml:space="preserve">والوضع المثالي أن يقوم المشاركون بأداء أدوار لا تتصل بالضرورة بأدوارهم في </w:t>
      </w:r>
      <w:r w:rsidR="00871516">
        <w:rPr>
          <w:rFonts w:cs="Traditional Arabic" w:hint="cs"/>
          <w:b/>
          <w:sz w:val="20"/>
          <w:szCs w:val="30"/>
          <w:rtl/>
          <w:lang w:val="en-GB"/>
        </w:rPr>
        <w:t xml:space="preserve">واقع </w:t>
      </w:r>
      <w:r>
        <w:rPr>
          <w:rFonts w:cs="Traditional Arabic" w:hint="cs"/>
          <w:b/>
          <w:sz w:val="20"/>
          <w:szCs w:val="30"/>
          <w:rtl/>
          <w:lang w:val="en-GB"/>
        </w:rPr>
        <w:t>الحياة. ولذلك ينبغي أن يقوم ممثلو المجتمع المدني بأدوار الحكومة ويستطيع ممثلو الحكومة أداء دور المجتمع المدني وما إلى ذلك. ولا يتحقق ذلك إلاّ إذا كانت المجموعة مختلطة. وسيتعيَّن على الميسِّر أن يكيِّف النشاط ليلائم المجموعة.</w:t>
      </w:r>
    </w:p>
    <w:p w:rsidR="00F231E8" w:rsidRDefault="00F231E8" w:rsidP="009332EF">
      <w:pPr>
        <w:tabs>
          <w:tab w:val="left" w:pos="720"/>
        </w:tabs>
        <w:bidi/>
        <w:jc w:val="both"/>
        <w:rPr>
          <w:rFonts w:cs="Traditional Arabic"/>
          <w:b/>
          <w:sz w:val="20"/>
          <w:szCs w:val="30"/>
          <w:rtl/>
          <w:lang w:val="en-GB"/>
        </w:rPr>
      </w:pPr>
    </w:p>
    <w:p w:rsidR="00F231E8" w:rsidRPr="009332EF" w:rsidRDefault="002E13AD" w:rsidP="009332EF">
      <w:pPr>
        <w:pStyle w:val="ListParagraph"/>
        <w:tabs>
          <w:tab w:val="left" w:pos="720"/>
        </w:tabs>
        <w:bidi/>
        <w:ind w:left="0"/>
        <w:jc w:val="both"/>
        <w:rPr>
          <w:rFonts w:cs="Traditional Arabic"/>
          <w:b/>
          <w:bCs/>
          <w:color w:val="4F81BD"/>
          <w:sz w:val="20"/>
          <w:szCs w:val="30"/>
          <w:u w:val="single"/>
          <w:rtl/>
          <w:lang w:val="en-GB"/>
        </w:rPr>
      </w:pPr>
      <w:r>
        <w:rPr>
          <w:rFonts w:cs="Traditional Arabic" w:hint="cs"/>
          <w:b/>
          <w:bCs/>
          <w:color w:val="4F81BD"/>
          <w:sz w:val="20"/>
          <w:szCs w:val="30"/>
          <w:u w:val="single"/>
          <w:rtl/>
          <w:lang w:val="en-GB"/>
        </w:rPr>
        <w:t>الدينامية</w:t>
      </w:r>
    </w:p>
    <w:p w:rsidR="009332EF" w:rsidRDefault="009332EF" w:rsidP="009332EF">
      <w:pPr>
        <w:tabs>
          <w:tab w:val="left" w:pos="720"/>
        </w:tabs>
        <w:bidi/>
        <w:jc w:val="both"/>
        <w:rPr>
          <w:rFonts w:cs="Traditional Arabic"/>
          <w:b/>
          <w:sz w:val="20"/>
          <w:szCs w:val="30"/>
          <w:rtl/>
          <w:lang w:val="en-GB"/>
        </w:rPr>
      </w:pPr>
    </w:p>
    <w:p w:rsidR="000D1BC0" w:rsidRDefault="002E13AD" w:rsidP="00871516">
      <w:pPr>
        <w:numPr>
          <w:ilvl w:val="0"/>
          <w:numId w:val="10"/>
        </w:numPr>
        <w:bidi/>
        <w:jc w:val="both"/>
        <w:rPr>
          <w:rFonts w:cs="Traditional Arabic"/>
          <w:b/>
          <w:sz w:val="20"/>
          <w:szCs w:val="30"/>
          <w:lang w:val="en-GB"/>
        </w:rPr>
      </w:pPr>
      <w:r>
        <w:rPr>
          <w:rFonts w:cs="Traditional Arabic" w:hint="cs"/>
          <w:b/>
          <w:sz w:val="20"/>
          <w:szCs w:val="30"/>
          <w:rtl/>
          <w:lang w:val="en-GB"/>
        </w:rPr>
        <w:t xml:space="preserve">يقوم الميسِّر بشرح النشاط </w:t>
      </w:r>
      <w:r w:rsidR="00871516">
        <w:rPr>
          <w:rFonts w:cs="Traditional Arabic" w:hint="cs"/>
          <w:b/>
          <w:sz w:val="20"/>
          <w:szCs w:val="30"/>
          <w:rtl/>
          <w:lang w:val="en-GB"/>
        </w:rPr>
        <w:t>للحاضرين</w:t>
      </w:r>
      <w:r>
        <w:rPr>
          <w:rFonts w:cs="Traditional Arabic" w:hint="cs"/>
          <w:b/>
          <w:sz w:val="20"/>
          <w:szCs w:val="30"/>
          <w:rtl/>
          <w:lang w:val="en-GB"/>
        </w:rPr>
        <w:t xml:space="preserve"> (الغرض والديناميات، إلخ) في المكان الرئيسي، ثم يقسِّم المتدربين إلى أربع مجموعات عمل ويرسلها إلى غرفها الفرعية (5 دقائق)</w:t>
      </w:r>
    </w:p>
    <w:p w:rsidR="000D1BC0" w:rsidRDefault="002E13AD" w:rsidP="000D1BC0">
      <w:pPr>
        <w:numPr>
          <w:ilvl w:val="0"/>
          <w:numId w:val="10"/>
        </w:numPr>
        <w:bidi/>
        <w:jc w:val="both"/>
        <w:rPr>
          <w:rFonts w:cs="Traditional Arabic"/>
          <w:b/>
          <w:sz w:val="20"/>
          <w:szCs w:val="30"/>
          <w:lang w:val="en-GB"/>
        </w:rPr>
      </w:pPr>
      <w:r>
        <w:rPr>
          <w:rFonts w:cs="Traditional Arabic" w:hint="cs"/>
          <w:b/>
          <w:sz w:val="20"/>
          <w:szCs w:val="30"/>
          <w:rtl/>
          <w:lang w:val="en-GB"/>
        </w:rPr>
        <w:lastRenderedPageBreak/>
        <w:t>يج</w:t>
      </w:r>
      <w:r w:rsidR="007F49B4">
        <w:rPr>
          <w:rFonts w:cs="Traditional Arabic" w:hint="cs"/>
          <w:b/>
          <w:sz w:val="20"/>
          <w:szCs w:val="30"/>
          <w:rtl/>
          <w:lang w:val="en-GB"/>
        </w:rPr>
        <w:t>ت</w:t>
      </w:r>
      <w:r>
        <w:rPr>
          <w:rFonts w:cs="Traditional Arabic" w:hint="cs"/>
          <w:b/>
          <w:sz w:val="20"/>
          <w:szCs w:val="30"/>
          <w:rtl/>
          <w:lang w:val="en-GB"/>
        </w:rPr>
        <w:t>مع الميسِّر مع مجموعات العمل في الغرف الف</w:t>
      </w:r>
      <w:r w:rsidR="00C92454">
        <w:rPr>
          <w:rFonts w:cs="Traditional Arabic" w:hint="cs"/>
          <w:b/>
          <w:sz w:val="20"/>
          <w:szCs w:val="30"/>
          <w:rtl/>
          <w:lang w:val="en-GB"/>
        </w:rPr>
        <w:t>رعية، ويتأكد من أن الجميع يفهم التمرين، ويدعو المجموعات إلى تسمية شخص لمراقبة الوقت وشخص للواجهة للقيام بالمهام (5 دقائق أو أقل)</w:t>
      </w:r>
    </w:p>
    <w:p w:rsidR="000D1BC0" w:rsidRDefault="0053084C" w:rsidP="000D1BC0">
      <w:pPr>
        <w:numPr>
          <w:ilvl w:val="0"/>
          <w:numId w:val="10"/>
        </w:numPr>
        <w:bidi/>
        <w:jc w:val="both"/>
        <w:rPr>
          <w:rFonts w:cs="Traditional Arabic"/>
          <w:b/>
          <w:sz w:val="20"/>
          <w:szCs w:val="30"/>
          <w:lang w:val="en-GB"/>
        </w:rPr>
      </w:pPr>
      <w:r>
        <w:rPr>
          <w:rFonts w:cs="Traditional Arabic" w:hint="cs"/>
          <w:b/>
          <w:sz w:val="20"/>
          <w:szCs w:val="30"/>
          <w:rtl/>
          <w:lang w:val="en-GB"/>
        </w:rPr>
        <w:t>تُعد المجموعات استراتيجياتها للأسئلة والأجوبة (15 دقيقة)</w:t>
      </w:r>
    </w:p>
    <w:p w:rsidR="000D1BC0" w:rsidRDefault="0053084C" w:rsidP="00F17EBB">
      <w:pPr>
        <w:numPr>
          <w:ilvl w:val="0"/>
          <w:numId w:val="10"/>
        </w:numPr>
        <w:bidi/>
        <w:jc w:val="both"/>
        <w:rPr>
          <w:rFonts w:cs="Traditional Arabic"/>
          <w:b/>
          <w:sz w:val="20"/>
          <w:szCs w:val="30"/>
          <w:lang w:val="en-GB"/>
        </w:rPr>
      </w:pPr>
      <w:r>
        <w:rPr>
          <w:rFonts w:cs="Traditional Arabic" w:hint="cs"/>
          <w:b/>
          <w:sz w:val="20"/>
          <w:szCs w:val="30"/>
          <w:rtl/>
          <w:lang w:val="en-GB"/>
        </w:rPr>
        <w:t>العودة إلى الغرفة العامة. يعقد ممثل المجموعة البرلمانية مشاورات مع ممثلي وزارة المالية ووزارة الشؤون الاجتماعية والمجتمع المدني. و</w:t>
      </w:r>
      <w:r w:rsidR="00F17EBB">
        <w:rPr>
          <w:rFonts w:cs="Traditional Arabic" w:hint="cs"/>
          <w:b/>
          <w:sz w:val="20"/>
          <w:szCs w:val="30"/>
          <w:rtl/>
          <w:lang w:val="en-GB"/>
        </w:rPr>
        <w:t>يوجه</w:t>
      </w:r>
      <w:r>
        <w:rPr>
          <w:rFonts w:cs="Traditional Arabic" w:hint="cs"/>
          <w:b/>
          <w:sz w:val="20"/>
          <w:szCs w:val="30"/>
          <w:rtl/>
          <w:lang w:val="en-GB"/>
        </w:rPr>
        <w:t xml:space="preserve"> أسئلة إلى ممثلي الوزارة ويكون على </w:t>
      </w:r>
      <w:r w:rsidR="00F17EBB">
        <w:rPr>
          <w:rFonts w:cs="Traditional Arabic" w:hint="cs"/>
          <w:b/>
          <w:sz w:val="20"/>
          <w:szCs w:val="30"/>
          <w:rtl/>
          <w:lang w:val="en-GB"/>
        </w:rPr>
        <w:t>ممثل الوزارة</w:t>
      </w:r>
      <w:r>
        <w:rPr>
          <w:rFonts w:cs="Traditional Arabic" w:hint="cs"/>
          <w:b/>
          <w:sz w:val="20"/>
          <w:szCs w:val="30"/>
          <w:rtl/>
          <w:lang w:val="en-GB"/>
        </w:rPr>
        <w:t xml:space="preserve"> أن يرد على الأسئلة </w:t>
      </w:r>
      <w:r w:rsidR="00F17EBB">
        <w:rPr>
          <w:rFonts w:cs="Traditional Arabic" w:hint="cs"/>
          <w:b/>
          <w:sz w:val="20"/>
          <w:szCs w:val="30"/>
          <w:rtl/>
          <w:lang w:val="en-GB"/>
        </w:rPr>
        <w:t>بما لديه من حجج</w:t>
      </w:r>
      <w:r>
        <w:rPr>
          <w:rFonts w:cs="Traditional Arabic" w:hint="cs"/>
          <w:b/>
          <w:sz w:val="20"/>
          <w:szCs w:val="30"/>
          <w:rtl/>
          <w:lang w:val="en-GB"/>
        </w:rPr>
        <w:t xml:space="preserve">. وفي نهاية </w:t>
      </w:r>
      <w:r w:rsidR="00F17EBB">
        <w:rPr>
          <w:rFonts w:cs="Traditional Arabic" w:hint="cs"/>
          <w:b/>
          <w:sz w:val="20"/>
          <w:szCs w:val="30"/>
          <w:rtl/>
          <w:lang w:val="en-GB"/>
        </w:rPr>
        <w:t>الجلسة</w:t>
      </w:r>
      <w:r>
        <w:rPr>
          <w:rFonts w:cs="Traditional Arabic" w:hint="cs"/>
          <w:b/>
          <w:sz w:val="20"/>
          <w:szCs w:val="30"/>
          <w:rtl/>
          <w:lang w:val="en-GB"/>
        </w:rPr>
        <w:t xml:space="preserve">، يكون على ممثل المجموعة البرلمانية أن يتخذ قراراً بشأن ما إن كان سيوصي البرلمان </w:t>
      </w:r>
      <w:r w:rsidR="00F17EBB">
        <w:rPr>
          <w:rFonts w:cs="Traditional Arabic" w:hint="cs"/>
          <w:b/>
          <w:sz w:val="20"/>
          <w:szCs w:val="30"/>
          <w:rtl/>
          <w:lang w:val="en-GB"/>
        </w:rPr>
        <w:t>بالتصديق</w:t>
      </w:r>
      <w:r>
        <w:rPr>
          <w:rFonts w:cs="Traditional Arabic" w:hint="cs"/>
          <w:b/>
          <w:sz w:val="20"/>
          <w:szCs w:val="30"/>
          <w:rtl/>
          <w:lang w:val="en-GB"/>
        </w:rPr>
        <w:t xml:space="preserve"> أم لا ويوضح السبب في ذلك (15 دقيقة)</w:t>
      </w:r>
    </w:p>
    <w:p w:rsidR="00B33659" w:rsidRDefault="00B33659" w:rsidP="00B33659">
      <w:pPr>
        <w:numPr>
          <w:ilvl w:val="0"/>
          <w:numId w:val="10"/>
        </w:numPr>
        <w:bidi/>
        <w:jc w:val="both"/>
        <w:rPr>
          <w:rFonts w:cs="Traditional Arabic"/>
          <w:b/>
          <w:sz w:val="20"/>
          <w:szCs w:val="30"/>
          <w:lang w:val="en-GB"/>
        </w:rPr>
      </w:pPr>
      <w:r>
        <w:rPr>
          <w:rFonts w:cs="Traditional Arabic" w:hint="cs"/>
          <w:b/>
          <w:sz w:val="20"/>
          <w:szCs w:val="30"/>
          <w:rtl/>
          <w:lang w:val="en-GB"/>
        </w:rPr>
        <w:t>التعليقات والتلخيص الختامي (10 دقائق)</w:t>
      </w:r>
    </w:p>
    <w:sectPr w:rsidR="00B33659" w:rsidSect="009816E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B94" w:rsidRDefault="006F1B94">
      <w:r>
        <w:separator/>
      </w:r>
    </w:p>
  </w:endnote>
  <w:endnote w:type="continuationSeparator" w:id="0">
    <w:p w:rsidR="006F1B94" w:rsidRDefault="006F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166B25">
      <w:rPr>
        <w:rStyle w:val="PageNumber"/>
        <w:rFonts w:ascii="Arial" w:hAnsi="Arial" w:cs="Arial"/>
        <w:noProof/>
      </w:rPr>
      <w:t>2</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B94" w:rsidRDefault="006F1B94">
      <w:r>
        <w:separator/>
      </w:r>
    </w:p>
  </w:footnote>
  <w:footnote w:type="continuationSeparator" w:id="0">
    <w:p w:rsidR="006F1B94" w:rsidRDefault="006F1B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1A0234">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1A0234">
      <w:rPr>
        <w:rFonts w:ascii="Arial" w:hAnsi="Arial" w:cs="Arial" w:hint="cs"/>
        <w:i/>
        <w:sz w:val="20"/>
        <w:szCs w:val="20"/>
        <w:rtl/>
      </w:rPr>
      <w:t>3</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EFF6E99"/>
    <w:multiLevelType w:val="hybridMultilevel"/>
    <w:tmpl w:val="87066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0"/>
  </w:num>
  <w:num w:numId="2">
    <w:abstractNumId w:val="2"/>
  </w:num>
  <w:num w:numId="3">
    <w:abstractNumId w:val="0"/>
  </w:num>
  <w:num w:numId="4">
    <w:abstractNumId w:val="6"/>
  </w:num>
  <w:num w:numId="5">
    <w:abstractNumId w:val="4"/>
  </w:num>
  <w:num w:numId="6">
    <w:abstractNumId w:val="7"/>
  </w:num>
  <w:num w:numId="7">
    <w:abstractNumId w:val="1"/>
  </w:num>
  <w:num w:numId="8">
    <w:abstractNumId w:val="8"/>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3CA1"/>
    <w:rsid w:val="00143FD8"/>
    <w:rsid w:val="0014409C"/>
    <w:rsid w:val="0016135F"/>
    <w:rsid w:val="00166B25"/>
    <w:rsid w:val="00167963"/>
    <w:rsid w:val="001751C9"/>
    <w:rsid w:val="00182934"/>
    <w:rsid w:val="0018768D"/>
    <w:rsid w:val="0018795A"/>
    <w:rsid w:val="00193191"/>
    <w:rsid w:val="001A0234"/>
    <w:rsid w:val="001B413B"/>
    <w:rsid w:val="001B5212"/>
    <w:rsid w:val="001B7CFB"/>
    <w:rsid w:val="001D0D94"/>
    <w:rsid w:val="001D0F8F"/>
    <w:rsid w:val="001D747D"/>
    <w:rsid w:val="001E73C9"/>
    <w:rsid w:val="001F51BA"/>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352A"/>
    <w:rsid w:val="00317326"/>
    <w:rsid w:val="00320BC1"/>
    <w:rsid w:val="003348FB"/>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3625B"/>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084C"/>
    <w:rsid w:val="00531E04"/>
    <w:rsid w:val="00534E2B"/>
    <w:rsid w:val="005526DF"/>
    <w:rsid w:val="005529C6"/>
    <w:rsid w:val="00554A04"/>
    <w:rsid w:val="00555CF7"/>
    <w:rsid w:val="0057291B"/>
    <w:rsid w:val="0058045B"/>
    <w:rsid w:val="00580579"/>
    <w:rsid w:val="00584A20"/>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5E6534"/>
    <w:rsid w:val="00601059"/>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5012"/>
    <w:rsid w:val="006A62ED"/>
    <w:rsid w:val="006C12FD"/>
    <w:rsid w:val="006C284E"/>
    <w:rsid w:val="006C5748"/>
    <w:rsid w:val="006D1CC6"/>
    <w:rsid w:val="006D6AA8"/>
    <w:rsid w:val="006D7AB7"/>
    <w:rsid w:val="006E46F0"/>
    <w:rsid w:val="006F1B94"/>
    <w:rsid w:val="006F5AEE"/>
    <w:rsid w:val="006F6166"/>
    <w:rsid w:val="007004D9"/>
    <w:rsid w:val="00700658"/>
    <w:rsid w:val="00701D74"/>
    <w:rsid w:val="007039CF"/>
    <w:rsid w:val="00704CCD"/>
    <w:rsid w:val="007059B8"/>
    <w:rsid w:val="00710110"/>
    <w:rsid w:val="007117C5"/>
    <w:rsid w:val="00713354"/>
    <w:rsid w:val="00714E6D"/>
    <w:rsid w:val="00723A49"/>
    <w:rsid w:val="00733400"/>
    <w:rsid w:val="007448F1"/>
    <w:rsid w:val="00745A9E"/>
    <w:rsid w:val="0075548F"/>
    <w:rsid w:val="007567B4"/>
    <w:rsid w:val="00771A78"/>
    <w:rsid w:val="007764E1"/>
    <w:rsid w:val="00781A66"/>
    <w:rsid w:val="00783106"/>
    <w:rsid w:val="0079162A"/>
    <w:rsid w:val="007B472D"/>
    <w:rsid w:val="007D161E"/>
    <w:rsid w:val="007D3D37"/>
    <w:rsid w:val="007E0E18"/>
    <w:rsid w:val="007E6059"/>
    <w:rsid w:val="007F05EE"/>
    <w:rsid w:val="007F1AD9"/>
    <w:rsid w:val="007F49B4"/>
    <w:rsid w:val="007F4CEF"/>
    <w:rsid w:val="00803651"/>
    <w:rsid w:val="008039AF"/>
    <w:rsid w:val="00805916"/>
    <w:rsid w:val="00822E0A"/>
    <w:rsid w:val="0082759D"/>
    <w:rsid w:val="00837961"/>
    <w:rsid w:val="00850D99"/>
    <w:rsid w:val="00857E78"/>
    <w:rsid w:val="0086691A"/>
    <w:rsid w:val="00871516"/>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332EF"/>
    <w:rsid w:val="00934FF9"/>
    <w:rsid w:val="009351FA"/>
    <w:rsid w:val="0093692E"/>
    <w:rsid w:val="00943FCA"/>
    <w:rsid w:val="00957CF4"/>
    <w:rsid w:val="009635C8"/>
    <w:rsid w:val="009710E2"/>
    <w:rsid w:val="009816E4"/>
    <w:rsid w:val="00981CB0"/>
    <w:rsid w:val="00983E47"/>
    <w:rsid w:val="00991846"/>
    <w:rsid w:val="0099525E"/>
    <w:rsid w:val="009A3C12"/>
    <w:rsid w:val="009B0017"/>
    <w:rsid w:val="009C3560"/>
    <w:rsid w:val="009C3E1B"/>
    <w:rsid w:val="009C4239"/>
    <w:rsid w:val="009C4E47"/>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B03B76"/>
    <w:rsid w:val="00B2519E"/>
    <w:rsid w:val="00B30096"/>
    <w:rsid w:val="00B30BC8"/>
    <w:rsid w:val="00B3164F"/>
    <w:rsid w:val="00B31B9D"/>
    <w:rsid w:val="00B33173"/>
    <w:rsid w:val="00B335FB"/>
    <w:rsid w:val="00B33659"/>
    <w:rsid w:val="00B371A7"/>
    <w:rsid w:val="00B540C1"/>
    <w:rsid w:val="00B659BF"/>
    <w:rsid w:val="00B75AF3"/>
    <w:rsid w:val="00B77C21"/>
    <w:rsid w:val="00B77FDE"/>
    <w:rsid w:val="00B82C11"/>
    <w:rsid w:val="00B871FF"/>
    <w:rsid w:val="00B96A3A"/>
    <w:rsid w:val="00B97CA0"/>
    <w:rsid w:val="00BA0993"/>
    <w:rsid w:val="00BA0D80"/>
    <w:rsid w:val="00BA2624"/>
    <w:rsid w:val="00BA6572"/>
    <w:rsid w:val="00BB4FEE"/>
    <w:rsid w:val="00BB54C3"/>
    <w:rsid w:val="00BC1048"/>
    <w:rsid w:val="00BC3727"/>
    <w:rsid w:val="00BD2E52"/>
    <w:rsid w:val="00BD4057"/>
    <w:rsid w:val="00BD58FB"/>
    <w:rsid w:val="00BD7051"/>
    <w:rsid w:val="00BE00BD"/>
    <w:rsid w:val="00BE087F"/>
    <w:rsid w:val="00BE2E54"/>
    <w:rsid w:val="00BF1F85"/>
    <w:rsid w:val="00BF3312"/>
    <w:rsid w:val="00BF350E"/>
    <w:rsid w:val="00C00200"/>
    <w:rsid w:val="00C0471F"/>
    <w:rsid w:val="00C076E9"/>
    <w:rsid w:val="00C1654B"/>
    <w:rsid w:val="00C35173"/>
    <w:rsid w:val="00C3677B"/>
    <w:rsid w:val="00C37A47"/>
    <w:rsid w:val="00C47CB1"/>
    <w:rsid w:val="00C56DA3"/>
    <w:rsid w:val="00C606F3"/>
    <w:rsid w:val="00C61411"/>
    <w:rsid w:val="00C64C7C"/>
    <w:rsid w:val="00C65463"/>
    <w:rsid w:val="00C82F70"/>
    <w:rsid w:val="00C843F0"/>
    <w:rsid w:val="00C92454"/>
    <w:rsid w:val="00C96806"/>
    <w:rsid w:val="00C96E8A"/>
    <w:rsid w:val="00C9799B"/>
    <w:rsid w:val="00CB1829"/>
    <w:rsid w:val="00CB2E71"/>
    <w:rsid w:val="00CB36B4"/>
    <w:rsid w:val="00CB3C99"/>
    <w:rsid w:val="00CB4552"/>
    <w:rsid w:val="00CB5C41"/>
    <w:rsid w:val="00CC0F7C"/>
    <w:rsid w:val="00CC1343"/>
    <w:rsid w:val="00CC353E"/>
    <w:rsid w:val="00CC53B0"/>
    <w:rsid w:val="00CD4264"/>
    <w:rsid w:val="00CE1253"/>
    <w:rsid w:val="00CE3DAA"/>
    <w:rsid w:val="00CE54B9"/>
    <w:rsid w:val="00CF1DE1"/>
    <w:rsid w:val="00CF73AC"/>
    <w:rsid w:val="00D007FC"/>
    <w:rsid w:val="00D0557C"/>
    <w:rsid w:val="00D10B30"/>
    <w:rsid w:val="00D16E1F"/>
    <w:rsid w:val="00D30BE5"/>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D767A"/>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17EBB"/>
    <w:rsid w:val="00F20A86"/>
    <w:rsid w:val="00F21CA0"/>
    <w:rsid w:val="00F231E8"/>
    <w:rsid w:val="00F327BB"/>
    <w:rsid w:val="00F416E9"/>
    <w:rsid w:val="00F426F2"/>
    <w:rsid w:val="00F42A27"/>
    <w:rsid w:val="00F44D70"/>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6D914-69ED-401D-A3FA-7FEB70A6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5</cp:revision>
  <cp:lastPrinted>2015-07-26T14:33:00Z</cp:lastPrinted>
  <dcterms:created xsi:type="dcterms:W3CDTF">2015-08-28T07:16:00Z</dcterms:created>
  <dcterms:modified xsi:type="dcterms:W3CDTF">2015-09-30T06:45:00Z</dcterms:modified>
</cp:coreProperties>
</file>